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DF6F" w14:textId="607D398A"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Name</w:t>
      </w:r>
      <w:r w:rsidRPr="0085201F">
        <w:rPr>
          <w:rFonts w:ascii="Arial" w:eastAsia="Times New Roman" w:hAnsi="Arial" w:cs="Arial"/>
          <w:color w:val="000000"/>
          <w:kern w:val="0"/>
          <w:lang w:eastAsia="en-GB" w:bidi="hi-IN"/>
          <w14:ligatures w14:val="none"/>
        </w:rPr>
        <w:t xml:space="preserve">: Rahul </w:t>
      </w:r>
      <w:proofErr w:type="spellStart"/>
      <w:r w:rsidRPr="0085201F">
        <w:rPr>
          <w:rFonts w:ascii="Arial" w:eastAsia="Times New Roman" w:hAnsi="Arial" w:cs="Arial"/>
          <w:color w:val="000000"/>
          <w:kern w:val="0"/>
          <w:lang w:eastAsia="en-GB" w:bidi="hi-IN"/>
          <w14:ligatures w14:val="none"/>
        </w:rPr>
        <w:t>Pachori</w:t>
      </w:r>
      <w:proofErr w:type="spellEnd"/>
    </w:p>
    <w:p w14:paraId="20AB1CFC"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4C8D731A" w14:textId="792F24FE"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Area</w:t>
      </w:r>
      <w:r w:rsidRPr="0085201F">
        <w:rPr>
          <w:rFonts w:ascii="Arial" w:eastAsia="Times New Roman" w:hAnsi="Arial" w:cs="Arial"/>
          <w:color w:val="000000"/>
          <w:kern w:val="0"/>
          <w:lang w:eastAsia="en-GB" w:bidi="hi-IN"/>
          <w14:ligatures w14:val="none"/>
        </w:rPr>
        <w:t>: Economics</w:t>
      </w:r>
    </w:p>
    <w:p w14:paraId="5BA9C577"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69858BC0" w14:textId="5F83BB00"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Email</w:t>
      </w:r>
      <w:r w:rsidRPr="0085201F">
        <w:rPr>
          <w:rFonts w:ascii="Arial" w:eastAsia="Times New Roman" w:hAnsi="Arial" w:cs="Arial"/>
          <w:color w:val="000000"/>
          <w:kern w:val="0"/>
          <w:lang w:eastAsia="en-GB" w:bidi="hi-IN"/>
          <w14:ligatures w14:val="none"/>
        </w:rPr>
        <w:t>: ef22rahulp@iimidr.ac.in</w:t>
      </w:r>
    </w:p>
    <w:p w14:paraId="50725B9A"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434F46C0" w14:textId="1B095799"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Educational Qualification</w:t>
      </w:r>
      <w:r w:rsidRPr="0085201F">
        <w:rPr>
          <w:rFonts w:ascii="Arial" w:eastAsia="Times New Roman" w:hAnsi="Arial" w:cs="Arial"/>
          <w:color w:val="000000"/>
          <w:kern w:val="0"/>
          <w:lang w:eastAsia="en-GB" w:bidi="hi-IN"/>
          <w14:ligatures w14:val="none"/>
        </w:rPr>
        <w:t xml:space="preserve">: </w:t>
      </w:r>
    </w:p>
    <w:p w14:paraId="644AC8CF"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tbl>
      <w:tblPr>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1750"/>
        <w:gridCol w:w="2727"/>
        <w:gridCol w:w="2268"/>
        <w:gridCol w:w="2376"/>
      </w:tblGrid>
      <w:tr w:rsidR="0085201F" w:rsidRPr="0085201F" w14:paraId="653F6E3F" w14:textId="77777777" w:rsidTr="0085201F">
        <w:trPr>
          <w:trHeight w:val="360"/>
        </w:trPr>
        <w:tc>
          <w:tcPr>
            <w:tcW w:w="1018" w:type="dxa"/>
            <w:tcBorders>
              <w:top w:val="single" w:sz="4" w:space="0" w:color="auto"/>
              <w:bottom w:val="single" w:sz="4" w:space="0" w:color="000000"/>
            </w:tcBorders>
          </w:tcPr>
          <w:p w14:paraId="4B6000C8"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Sr. No.</w:t>
            </w:r>
          </w:p>
        </w:tc>
        <w:tc>
          <w:tcPr>
            <w:tcW w:w="1750" w:type="dxa"/>
            <w:tcBorders>
              <w:top w:val="single" w:sz="4" w:space="0" w:color="auto"/>
              <w:bottom w:val="single" w:sz="4" w:space="0" w:color="000000"/>
            </w:tcBorders>
          </w:tcPr>
          <w:p w14:paraId="3D0AD5B8"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rPr>
            </w:pPr>
            <w:r w:rsidRPr="0085201F">
              <w:rPr>
                <w:rFonts w:ascii="Arial" w:eastAsia="Arial" w:hAnsi="Arial" w:cs="Arial"/>
              </w:rPr>
              <w:t>Qualification</w:t>
            </w:r>
          </w:p>
        </w:tc>
        <w:tc>
          <w:tcPr>
            <w:tcW w:w="2727" w:type="dxa"/>
            <w:tcBorders>
              <w:top w:val="single" w:sz="4" w:space="0" w:color="auto"/>
              <w:bottom w:val="single" w:sz="4" w:space="0" w:color="000000"/>
            </w:tcBorders>
          </w:tcPr>
          <w:p w14:paraId="63B5BE3F"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rPr>
            </w:pPr>
            <w:r w:rsidRPr="0085201F">
              <w:rPr>
                <w:rFonts w:ascii="Arial" w:eastAsia="Arial" w:hAnsi="Arial" w:cs="Arial"/>
              </w:rPr>
              <w:t>Subject</w:t>
            </w:r>
          </w:p>
        </w:tc>
        <w:tc>
          <w:tcPr>
            <w:tcW w:w="2268" w:type="dxa"/>
            <w:tcBorders>
              <w:top w:val="single" w:sz="4" w:space="0" w:color="auto"/>
              <w:bottom w:val="single" w:sz="4" w:space="0" w:color="000000"/>
            </w:tcBorders>
          </w:tcPr>
          <w:p w14:paraId="4E505EE3"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rPr>
            </w:pPr>
            <w:r w:rsidRPr="0085201F">
              <w:rPr>
                <w:rFonts w:ascii="Arial" w:eastAsia="Arial" w:hAnsi="Arial" w:cs="Arial"/>
              </w:rPr>
              <w:t>Year / Division</w:t>
            </w:r>
          </w:p>
        </w:tc>
        <w:tc>
          <w:tcPr>
            <w:tcW w:w="2376" w:type="dxa"/>
            <w:tcBorders>
              <w:top w:val="single" w:sz="4" w:space="0" w:color="auto"/>
              <w:bottom w:val="single" w:sz="4" w:space="0" w:color="000000"/>
            </w:tcBorders>
          </w:tcPr>
          <w:p w14:paraId="7C5508CC"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rPr>
            </w:pPr>
            <w:r w:rsidRPr="0085201F">
              <w:rPr>
                <w:rFonts w:ascii="Arial" w:eastAsia="Arial" w:hAnsi="Arial" w:cs="Arial"/>
              </w:rPr>
              <w:t>Institution &amp; Place</w:t>
            </w:r>
          </w:p>
        </w:tc>
      </w:tr>
      <w:tr w:rsidR="0085201F" w:rsidRPr="0085201F" w14:paraId="05EA2132" w14:textId="77777777" w:rsidTr="0085201F">
        <w:trPr>
          <w:trHeight w:val="620"/>
        </w:trPr>
        <w:tc>
          <w:tcPr>
            <w:tcW w:w="1018" w:type="dxa"/>
            <w:tcBorders>
              <w:top w:val="single" w:sz="4" w:space="0" w:color="000000"/>
            </w:tcBorders>
          </w:tcPr>
          <w:p w14:paraId="4D75558E"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1.</w:t>
            </w:r>
          </w:p>
        </w:tc>
        <w:tc>
          <w:tcPr>
            <w:tcW w:w="1750" w:type="dxa"/>
            <w:tcBorders>
              <w:top w:val="single" w:sz="4" w:space="0" w:color="000000"/>
            </w:tcBorders>
          </w:tcPr>
          <w:p w14:paraId="29600D4B"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10+2</w:t>
            </w:r>
          </w:p>
        </w:tc>
        <w:tc>
          <w:tcPr>
            <w:tcW w:w="2727" w:type="dxa"/>
            <w:tcBorders>
              <w:top w:val="single" w:sz="4" w:space="0" w:color="000000"/>
            </w:tcBorders>
          </w:tcPr>
          <w:p w14:paraId="64EAAE84"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Physics, Chemistry &amp; Mathematics</w:t>
            </w:r>
          </w:p>
        </w:tc>
        <w:tc>
          <w:tcPr>
            <w:tcW w:w="2268" w:type="dxa"/>
            <w:tcBorders>
              <w:top w:val="single" w:sz="4" w:space="0" w:color="000000"/>
            </w:tcBorders>
          </w:tcPr>
          <w:p w14:paraId="1A35E79B"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2004 / First Div. (82%)</w:t>
            </w:r>
          </w:p>
        </w:tc>
        <w:tc>
          <w:tcPr>
            <w:tcW w:w="2376" w:type="dxa"/>
            <w:tcBorders>
              <w:top w:val="single" w:sz="4" w:space="0" w:color="000000"/>
            </w:tcBorders>
          </w:tcPr>
          <w:p w14:paraId="2102DD22"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Campion School Bhopal</w:t>
            </w:r>
          </w:p>
        </w:tc>
      </w:tr>
      <w:tr w:rsidR="0085201F" w:rsidRPr="0085201F" w14:paraId="462FF15C" w14:textId="77777777" w:rsidTr="00611D2A">
        <w:trPr>
          <w:trHeight w:val="700"/>
        </w:trPr>
        <w:tc>
          <w:tcPr>
            <w:tcW w:w="1018" w:type="dxa"/>
            <w:tcBorders>
              <w:bottom w:val="single" w:sz="4" w:space="0" w:color="000000"/>
            </w:tcBorders>
          </w:tcPr>
          <w:p w14:paraId="0208255A"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2.</w:t>
            </w:r>
          </w:p>
        </w:tc>
        <w:tc>
          <w:tcPr>
            <w:tcW w:w="1750" w:type="dxa"/>
          </w:tcPr>
          <w:p w14:paraId="0D8DAB4A"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B. Tech</w:t>
            </w:r>
          </w:p>
        </w:tc>
        <w:tc>
          <w:tcPr>
            <w:tcW w:w="2727" w:type="dxa"/>
          </w:tcPr>
          <w:p w14:paraId="0EF0F534"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Electrical Engineering</w:t>
            </w:r>
          </w:p>
        </w:tc>
        <w:tc>
          <w:tcPr>
            <w:tcW w:w="2268" w:type="dxa"/>
          </w:tcPr>
          <w:p w14:paraId="4CFB82AA"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2008 / 9.02 CGPA</w:t>
            </w:r>
          </w:p>
          <w:p w14:paraId="67D08521" w14:textId="77777777" w:rsidR="0085201F" w:rsidRPr="0085201F" w:rsidRDefault="0085201F" w:rsidP="00611D2A">
            <w:pPr>
              <w:tabs>
                <w:tab w:val="left" w:pos="284"/>
                <w:tab w:val="left" w:pos="709"/>
              </w:tabs>
              <w:spacing w:after="200" w:line="276" w:lineRule="auto"/>
              <w:jc w:val="both"/>
              <w:rPr>
                <w:rFonts w:ascii="Arial" w:eastAsia="Arial" w:hAnsi="Arial" w:cs="Arial"/>
                <w:b/>
                <w:color w:val="000000"/>
              </w:rPr>
            </w:pPr>
            <w:r w:rsidRPr="0085201F">
              <w:rPr>
                <w:rFonts w:ascii="Arial" w:eastAsia="Arial" w:hAnsi="Arial" w:cs="Arial"/>
                <w:b/>
                <w:color w:val="000000"/>
              </w:rPr>
              <w:t xml:space="preserve">Silver Medallist </w:t>
            </w:r>
          </w:p>
        </w:tc>
        <w:tc>
          <w:tcPr>
            <w:tcW w:w="2376" w:type="dxa"/>
          </w:tcPr>
          <w:p w14:paraId="459026DE" w14:textId="77777777" w:rsidR="0085201F" w:rsidRPr="0085201F" w:rsidRDefault="0085201F" w:rsidP="00611D2A">
            <w:pP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Maulana Azad National Institute of Technology, Bhopal</w:t>
            </w:r>
          </w:p>
        </w:tc>
      </w:tr>
      <w:tr w:rsidR="0085201F" w:rsidRPr="0085201F" w14:paraId="6552ADA5" w14:textId="77777777" w:rsidTr="00611D2A">
        <w:trPr>
          <w:trHeight w:val="700"/>
        </w:trPr>
        <w:tc>
          <w:tcPr>
            <w:tcW w:w="1018" w:type="dxa"/>
            <w:tcBorders>
              <w:left w:val="single" w:sz="4" w:space="0" w:color="000000"/>
              <w:bottom w:val="single" w:sz="4" w:space="0" w:color="000000"/>
            </w:tcBorders>
          </w:tcPr>
          <w:p w14:paraId="384B20AD"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3.</w:t>
            </w:r>
          </w:p>
        </w:tc>
        <w:tc>
          <w:tcPr>
            <w:tcW w:w="4477" w:type="dxa"/>
            <w:gridSpan w:val="2"/>
          </w:tcPr>
          <w:p w14:paraId="353166EA"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Certified Energy Auditor</w:t>
            </w:r>
          </w:p>
        </w:tc>
        <w:tc>
          <w:tcPr>
            <w:tcW w:w="2268" w:type="dxa"/>
          </w:tcPr>
          <w:p w14:paraId="4345DF39"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2020</w:t>
            </w:r>
          </w:p>
        </w:tc>
        <w:tc>
          <w:tcPr>
            <w:tcW w:w="2376" w:type="dxa"/>
          </w:tcPr>
          <w:p w14:paraId="6A915ABB"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 xml:space="preserve">Bureau of Energy Efficiency, BEE </w:t>
            </w:r>
          </w:p>
        </w:tc>
      </w:tr>
      <w:tr w:rsidR="0085201F" w:rsidRPr="0085201F" w14:paraId="05595E0B" w14:textId="77777777" w:rsidTr="00611D2A">
        <w:trPr>
          <w:trHeight w:val="700"/>
        </w:trPr>
        <w:tc>
          <w:tcPr>
            <w:tcW w:w="1018" w:type="dxa"/>
            <w:tcBorders>
              <w:left w:val="single" w:sz="4" w:space="0" w:color="000000"/>
              <w:bottom w:val="single" w:sz="4" w:space="0" w:color="000000"/>
            </w:tcBorders>
          </w:tcPr>
          <w:p w14:paraId="2FDC7A7E"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4.</w:t>
            </w:r>
          </w:p>
        </w:tc>
        <w:tc>
          <w:tcPr>
            <w:tcW w:w="1750" w:type="dxa"/>
          </w:tcPr>
          <w:p w14:paraId="38540EAA"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Advanced Management Program in Public Policy</w:t>
            </w:r>
          </w:p>
        </w:tc>
        <w:tc>
          <w:tcPr>
            <w:tcW w:w="2727" w:type="dxa"/>
          </w:tcPr>
          <w:p w14:paraId="0BC34FE6"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AMPPP Program from Indian School of Business Mohali/Hyderabad</w:t>
            </w:r>
          </w:p>
        </w:tc>
        <w:tc>
          <w:tcPr>
            <w:tcW w:w="2268" w:type="dxa"/>
          </w:tcPr>
          <w:p w14:paraId="5EDCF09C"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April 2022</w:t>
            </w:r>
          </w:p>
        </w:tc>
        <w:tc>
          <w:tcPr>
            <w:tcW w:w="2376" w:type="dxa"/>
          </w:tcPr>
          <w:p w14:paraId="5D078A81"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Indian School of Business Mohali/Hyderabad</w:t>
            </w:r>
          </w:p>
        </w:tc>
      </w:tr>
      <w:tr w:rsidR="0085201F" w:rsidRPr="0085201F" w14:paraId="3512A530" w14:textId="77777777" w:rsidTr="00611D2A">
        <w:trPr>
          <w:trHeight w:val="700"/>
        </w:trPr>
        <w:tc>
          <w:tcPr>
            <w:tcW w:w="1018" w:type="dxa"/>
            <w:tcBorders>
              <w:left w:val="single" w:sz="4" w:space="0" w:color="000000"/>
            </w:tcBorders>
          </w:tcPr>
          <w:p w14:paraId="5079840B"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center"/>
              <w:rPr>
                <w:rFonts w:ascii="Arial" w:eastAsia="Arial" w:hAnsi="Arial" w:cs="Arial"/>
              </w:rPr>
            </w:pPr>
            <w:r w:rsidRPr="0085201F">
              <w:rPr>
                <w:rFonts w:ascii="Arial" w:eastAsia="Arial" w:hAnsi="Arial" w:cs="Arial"/>
              </w:rPr>
              <w:t>5.</w:t>
            </w:r>
          </w:p>
        </w:tc>
        <w:tc>
          <w:tcPr>
            <w:tcW w:w="1750" w:type="dxa"/>
          </w:tcPr>
          <w:p w14:paraId="60CB6EBD"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Micro Masters MITx</w:t>
            </w:r>
          </w:p>
        </w:tc>
        <w:tc>
          <w:tcPr>
            <w:tcW w:w="2727" w:type="dxa"/>
          </w:tcPr>
          <w:p w14:paraId="77643335"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Economics</w:t>
            </w:r>
          </w:p>
        </w:tc>
        <w:tc>
          <w:tcPr>
            <w:tcW w:w="2268" w:type="dxa"/>
          </w:tcPr>
          <w:p w14:paraId="5A0D5D55"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Jan 2022</w:t>
            </w:r>
          </w:p>
        </w:tc>
        <w:tc>
          <w:tcPr>
            <w:tcW w:w="2376" w:type="dxa"/>
          </w:tcPr>
          <w:p w14:paraId="4DC26111" w14:textId="77777777" w:rsidR="0085201F" w:rsidRPr="0085201F" w:rsidRDefault="0085201F" w:rsidP="00611D2A">
            <w:pPr>
              <w:pBdr>
                <w:top w:val="nil"/>
                <w:left w:val="nil"/>
                <w:bottom w:val="nil"/>
                <w:right w:val="nil"/>
                <w:between w:val="nil"/>
              </w:pBdr>
              <w:tabs>
                <w:tab w:val="left" w:pos="284"/>
                <w:tab w:val="left" w:pos="709"/>
              </w:tabs>
              <w:spacing w:after="200" w:line="276" w:lineRule="auto"/>
              <w:jc w:val="both"/>
              <w:rPr>
                <w:rFonts w:ascii="Arial" w:eastAsia="Arial" w:hAnsi="Arial" w:cs="Arial"/>
                <w:color w:val="000000"/>
              </w:rPr>
            </w:pPr>
            <w:r w:rsidRPr="0085201F">
              <w:rPr>
                <w:rFonts w:ascii="Arial" w:eastAsia="Arial" w:hAnsi="Arial" w:cs="Arial"/>
                <w:color w:val="000000"/>
              </w:rPr>
              <w:t>MITx J-PAL Courses</w:t>
            </w:r>
          </w:p>
        </w:tc>
      </w:tr>
    </w:tbl>
    <w:p w14:paraId="1C6621D9"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535A1335" w14:textId="66084D39"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Overall Experience</w:t>
      </w:r>
      <w:r w:rsidRPr="0085201F">
        <w:rPr>
          <w:rFonts w:ascii="Arial" w:eastAsia="Times New Roman" w:hAnsi="Arial" w:cs="Arial"/>
          <w:color w:val="000000"/>
          <w:kern w:val="0"/>
          <w:lang w:eastAsia="en-GB" w:bidi="hi-IN"/>
          <w14:ligatures w14:val="none"/>
        </w:rPr>
        <w:t>: 14 years.</w:t>
      </w:r>
    </w:p>
    <w:p w14:paraId="35BA2F93"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419FC1D4" w14:textId="5679AFC5"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Present Employment</w:t>
      </w:r>
      <w:r w:rsidRPr="0085201F">
        <w:rPr>
          <w:rFonts w:ascii="Arial" w:eastAsia="Times New Roman" w:hAnsi="Arial" w:cs="Arial"/>
          <w:color w:val="000000"/>
          <w:kern w:val="0"/>
          <w:lang w:eastAsia="en-GB" w:bidi="hi-IN"/>
          <w14:ligatures w14:val="none"/>
        </w:rPr>
        <w:t xml:space="preserve">: </w:t>
      </w:r>
      <w:r w:rsidRPr="0085201F">
        <w:rPr>
          <w:rFonts w:ascii="Arial" w:eastAsia="Times New Roman" w:hAnsi="Arial" w:cs="Arial"/>
          <w:color w:val="000000"/>
          <w:kern w:val="0"/>
          <w:lang w:eastAsia="en-GB" w:bidi="hi-IN"/>
          <w14:ligatures w14:val="none"/>
        </w:rPr>
        <w:t>Director, Dept of School Education &amp; Literacy, Ministry of Education, Govt of India</w:t>
      </w:r>
    </w:p>
    <w:p w14:paraId="6928875B"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4B81FB21" w14:textId="77777777" w:rsidR="0085201F" w:rsidRPr="0085201F" w:rsidRDefault="0085201F" w:rsidP="0085201F">
      <w:pPr>
        <w:spacing w:line="360" w:lineRule="auto"/>
        <w:jc w:val="both"/>
        <w:rPr>
          <w:rFonts w:ascii="Arial" w:hAnsi="Arial" w:cs="Arial"/>
        </w:rPr>
      </w:pPr>
      <w:r w:rsidRPr="0085201F">
        <w:rPr>
          <w:rFonts w:ascii="Arial" w:eastAsia="Times New Roman" w:hAnsi="Arial" w:cs="Arial"/>
          <w:color w:val="000000"/>
          <w:kern w:val="0"/>
          <w:lang w:eastAsia="en-GB" w:bidi="hi-IN"/>
          <w14:ligatures w14:val="none"/>
        </w:rPr>
        <w:t>Profile Summary</w:t>
      </w:r>
      <w:r w:rsidRPr="0085201F">
        <w:rPr>
          <w:rFonts w:ascii="Arial" w:eastAsia="Times New Roman" w:hAnsi="Arial" w:cs="Arial"/>
          <w:color w:val="000000"/>
          <w:kern w:val="0"/>
          <w:lang w:eastAsia="en-GB" w:bidi="hi-IN"/>
          <w14:ligatures w14:val="none"/>
        </w:rPr>
        <w:t xml:space="preserve">: </w:t>
      </w:r>
      <w:r w:rsidRPr="0085201F">
        <w:rPr>
          <w:rFonts w:ascii="Arial" w:hAnsi="Arial" w:cs="Arial"/>
        </w:rPr>
        <w:t xml:space="preserve">Sh. Rahul </w:t>
      </w:r>
      <w:proofErr w:type="spellStart"/>
      <w:r w:rsidRPr="0085201F">
        <w:rPr>
          <w:rFonts w:ascii="Arial" w:hAnsi="Arial" w:cs="Arial"/>
        </w:rPr>
        <w:t>Pachori</w:t>
      </w:r>
      <w:proofErr w:type="spellEnd"/>
      <w:r w:rsidRPr="0085201F">
        <w:rPr>
          <w:rFonts w:ascii="Arial" w:hAnsi="Arial" w:cs="Arial"/>
        </w:rPr>
        <w:t xml:space="preserve"> is a distinguished officer of the Indian Railway Service, recognized for his exceptional contributions in the field. With a strong academic background in Electrical Engineering, he has also earned accreditations as an Energy Auditor. In addition, he is an alumnus of the Advanced Management Program in Public Policy from the esteemed Indian School of Business (ISB).</w:t>
      </w:r>
    </w:p>
    <w:p w14:paraId="548C0A90" w14:textId="77777777" w:rsidR="0085201F" w:rsidRPr="0085201F" w:rsidRDefault="0085201F" w:rsidP="0085201F">
      <w:pPr>
        <w:spacing w:line="360" w:lineRule="auto"/>
        <w:jc w:val="both"/>
        <w:rPr>
          <w:rFonts w:ascii="Arial" w:hAnsi="Arial" w:cs="Arial"/>
        </w:rPr>
      </w:pPr>
      <w:r w:rsidRPr="0085201F">
        <w:rPr>
          <w:rFonts w:ascii="Arial" w:hAnsi="Arial" w:cs="Arial"/>
        </w:rPr>
        <w:t xml:space="preserve">Currently serving as Director in the Ministry of Education, specifically within the Department of School Education, Sh. </w:t>
      </w:r>
      <w:proofErr w:type="spellStart"/>
      <w:r w:rsidRPr="0085201F">
        <w:rPr>
          <w:rFonts w:ascii="Arial" w:hAnsi="Arial" w:cs="Arial"/>
        </w:rPr>
        <w:t>Pachori</w:t>
      </w:r>
      <w:proofErr w:type="spellEnd"/>
      <w:r w:rsidRPr="0085201F">
        <w:rPr>
          <w:rFonts w:ascii="Arial" w:hAnsi="Arial" w:cs="Arial"/>
        </w:rPr>
        <w:t xml:space="preserve"> plays a pivotal role in shaping policies and initiatives to enhance the educational landscape of the nation. His expertise has been instrumental in successfully collaborating with the World Bank on the externally aided project STARS (Strengthening Teaching-Learning and Results for States). </w:t>
      </w:r>
      <w:r w:rsidRPr="0085201F">
        <w:rPr>
          <w:rFonts w:ascii="Arial" w:hAnsi="Arial" w:cs="Arial"/>
        </w:rPr>
        <w:lastRenderedPageBreak/>
        <w:t>Moreover, he has been deeply involved in driving advancements in teacher education, as well as overseeing the operations of PARAKH - the National Assessment Centre. He has provided notable contributions in the implementation of the flagship scheme SAMAGRA SHIKSHA across various States and Union Territories.</w:t>
      </w:r>
    </w:p>
    <w:p w14:paraId="105DF6C3" w14:textId="1B7E0D88"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56497FE1"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7FD040A5" w14:textId="2DAA6DB2"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 xml:space="preserve">Papers &amp; </w:t>
      </w:r>
      <w:r>
        <w:rPr>
          <w:rFonts w:ascii="Arial" w:eastAsia="Times New Roman" w:hAnsi="Arial" w:cs="Arial"/>
          <w:color w:val="000000"/>
          <w:kern w:val="0"/>
          <w:lang w:eastAsia="en-GB" w:bidi="hi-IN"/>
          <w14:ligatures w14:val="none"/>
        </w:rPr>
        <w:t>Articles</w:t>
      </w:r>
    </w:p>
    <w:p w14:paraId="49D9EB9F"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520AFEB0" w14:textId="54DED2F8" w:rsidR="0085201F" w:rsidRPr="007A4DDB" w:rsidRDefault="007A4DDB" w:rsidP="007A4DDB">
      <w:pPr>
        <w:pStyle w:val="ListParagraph"/>
        <w:numPr>
          <w:ilvl w:val="0"/>
          <w:numId w:val="1"/>
        </w:numPr>
        <w:spacing w:after="200" w:line="480" w:lineRule="auto"/>
        <w:jc w:val="both"/>
        <w:rPr>
          <w:rFonts w:ascii="Arial" w:hAnsi="Arial" w:cs="Arial"/>
          <w:color w:val="222222"/>
          <w:shd w:val="clear" w:color="auto" w:fill="FFFFFF"/>
        </w:rPr>
      </w:pPr>
      <w:proofErr w:type="spellStart"/>
      <w:r w:rsidRPr="007A4DDB">
        <w:rPr>
          <w:rFonts w:ascii="Arial" w:hAnsi="Arial" w:cs="Arial"/>
          <w:b/>
          <w:bCs/>
          <w:color w:val="222222"/>
          <w:shd w:val="clear" w:color="auto" w:fill="FFFFFF"/>
        </w:rPr>
        <w:t>P</w:t>
      </w:r>
      <w:r>
        <w:rPr>
          <w:rFonts w:ascii="Arial" w:hAnsi="Arial" w:cs="Arial"/>
          <w:b/>
          <w:bCs/>
          <w:color w:val="222222"/>
          <w:shd w:val="clear" w:color="auto" w:fill="FFFFFF"/>
        </w:rPr>
        <w:t>achori</w:t>
      </w:r>
      <w:proofErr w:type="spellEnd"/>
      <w:r>
        <w:rPr>
          <w:rFonts w:ascii="Arial" w:hAnsi="Arial" w:cs="Arial"/>
          <w:b/>
          <w:bCs/>
          <w:color w:val="222222"/>
          <w:shd w:val="clear" w:color="auto" w:fill="FFFFFF"/>
        </w:rPr>
        <w:t>,</w:t>
      </w:r>
      <w:r w:rsidRPr="007A4DDB">
        <w:rPr>
          <w:rFonts w:ascii="Arial" w:hAnsi="Arial" w:cs="Arial"/>
          <w:b/>
          <w:bCs/>
          <w:color w:val="222222"/>
          <w:shd w:val="clear" w:color="auto" w:fill="FFFFFF"/>
        </w:rPr>
        <w:t xml:space="preserve"> R</w:t>
      </w:r>
      <w:r w:rsidRPr="007A4DDB">
        <w:rPr>
          <w:rFonts w:ascii="Arial" w:hAnsi="Arial" w:cs="Arial"/>
          <w:color w:val="222222"/>
          <w:shd w:val="clear" w:color="auto" w:fill="FFFFFF"/>
        </w:rPr>
        <w:t>., &amp; R</w:t>
      </w:r>
      <w:r>
        <w:rPr>
          <w:rFonts w:ascii="Arial" w:hAnsi="Arial" w:cs="Arial"/>
          <w:color w:val="222222"/>
          <w:shd w:val="clear" w:color="auto" w:fill="FFFFFF"/>
        </w:rPr>
        <w:t>athore</w:t>
      </w:r>
      <w:r w:rsidRPr="007A4DDB">
        <w:rPr>
          <w:rFonts w:ascii="Arial" w:hAnsi="Arial" w:cs="Arial"/>
          <w:color w:val="222222"/>
          <w:shd w:val="clear" w:color="auto" w:fill="FFFFFF"/>
        </w:rPr>
        <w:t>, D. (2024, July 22). The evolution of cricket and umpiring. The Pioneer. Retrieved August 11, 2024, from https://www.dailypioneer.com/2024/columnists/the-evolution-of-cricket-and-umpiring.html</w:t>
      </w:r>
    </w:p>
    <w:p w14:paraId="02809F51" w14:textId="7E3F00B4" w:rsidR="0085201F" w:rsidRPr="0085201F" w:rsidRDefault="0085201F" w:rsidP="0085201F">
      <w:pPr>
        <w:pStyle w:val="ListParagraph"/>
        <w:numPr>
          <w:ilvl w:val="0"/>
          <w:numId w:val="1"/>
        </w:numPr>
        <w:spacing w:after="200" w:line="480" w:lineRule="auto"/>
        <w:jc w:val="both"/>
        <w:rPr>
          <w:rFonts w:ascii="Arial" w:hAnsi="Arial" w:cs="Arial"/>
          <w:color w:val="222222"/>
          <w:shd w:val="clear" w:color="auto" w:fill="FFFFFF"/>
        </w:rPr>
      </w:pPr>
      <w:proofErr w:type="spellStart"/>
      <w:r w:rsidRPr="0085201F">
        <w:rPr>
          <w:rFonts w:ascii="Arial" w:hAnsi="Arial" w:cs="Arial"/>
          <w:b/>
          <w:bCs/>
          <w:color w:val="222222"/>
          <w:shd w:val="clear" w:color="auto" w:fill="FFFFFF"/>
        </w:rPr>
        <w:t>Pachori</w:t>
      </w:r>
      <w:proofErr w:type="spellEnd"/>
      <w:r w:rsidRPr="0085201F">
        <w:rPr>
          <w:rFonts w:ascii="Arial" w:hAnsi="Arial" w:cs="Arial"/>
          <w:b/>
          <w:bCs/>
          <w:color w:val="222222"/>
          <w:shd w:val="clear" w:color="auto" w:fill="FFFFFF"/>
        </w:rPr>
        <w:t>, R.</w:t>
      </w:r>
      <w:r w:rsidRPr="0085201F">
        <w:rPr>
          <w:rFonts w:ascii="Arial" w:hAnsi="Arial" w:cs="Arial"/>
          <w:color w:val="222222"/>
          <w:shd w:val="clear" w:color="auto" w:fill="FFFFFF"/>
        </w:rPr>
        <w:t xml:space="preserve">, &amp; Dhaka, N. (2024). Targeted and Saturation Approach for Sustainable Education. </w:t>
      </w:r>
      <w:r w:rsidRPr="0085201F">
        <w:rPr>
          <w:rFonts w:ascii="Arial" w:hAnsi="Arial" w:cs="Arial"/>
          <w:i/>
          <w:iCs/>
          <w:color w:val="222222"/>
          <w:shd w:val="clear" w:color="auto" w:fill="FFFFFF"/>
        </w:rPr>
        <w:t>Indian Journal of Public Administration,</w:t>
      </w:r>
      <w:r w:rsidRPr="0085201F">
        <w:rPr>
          <w:rFonts w:ascii="Arial" w:hAnsi="Arial" w:cs="Arial"/>
          <w:color w:val="222222"/>
          <w:shd w:val="clear" w:color="auto" w:fill="FFFFFF"/>
        </w:rPr>
        <w:t xml:space="preserve"> 0(0). https://doi.org/10.1177/00195561241248316</w:t>
      </w:r>
    </w:p>
    <w:p w14:paraId="1B6C9914" w14:textId="77777777"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color w:val="222222"/>
          <w:shd w:val="clear" w:color="auto" w:fill="FFFFFF"/>
        </w:rPr>
        <w:t>Pachori</w:t>
      </w:r>
      <w:proofErr w:type="spellEnd"/>
      <w:r w:rsidRPr="0085201F">
        <w:rPr>
          <w:rFonts w:ascii="Arial" w:hAnsi="Arial" w:cs="Arial"/>
          <w:b/>
          <w:bCs/>
          <w:color w:val="222222"/>
          <w:shd w:val="clear" w:color="auto" w:fill="FFFFFF"/>
        </w:rPr>
        <w:t>, R.</w:t>
      </w:r>
      <w:r w:rsidRPr="0085201F">
        <w:rPr>
          <w:rFonts w:ascii="Arial" w:hAnsi="Arial" w:cs="Arial"/>
          <w:color w:val="222222"/>
          <w:shd w:val="clear" w:color="auto" w:fill="FFFFFF"/>
        </w:rPr>
        <w:t xml:space="preserve"> (2023). Multifaceted Role of Communication in Organizational Dynamics. </w:t>
      </w:r>
      <w:r w:rsidRPr="0085201F">
        <w:rPr>
          <w:rFonts w:ascii="Arial" w:hAnsi="Arial" w:cs="Arial"/>
          <w:i/>
          <w:iCs/>
          <w:color w:val="222222"/>
          <w:shd w:val="clear" w:color="auto" w:fill="FFFFFF"/>
        </w:rPr>
        <w:t>IUP Journal of Soft Skills</w:t>
      </w:r>
      <w:r w:rsidRPr="0085201F">
        <w:rPr>
          <w:rFonts w:ascii="Arial" w:hAnsi="Arial" w:cs="Arial"/>
          <w:color w:val="222222"/>
          <w:shd w:val="clear" w:color="auto" w:fill="FFFFFF"/>
        </w:rPr>
        <w:t>, </w:t>
      </w:r>
      <w:r w:rsidRPr="0085201F">
        <w:rPr>
          <w:rFonts w:ascii="Arial" w:hAnsi="Arial" w:cs="Arial"/>
          <w:i/>
          <w:iCs/>
          <w:color w:val="222222"/>
          <w:shd w:val="clear" w:color="auto" w:fill="FFFFFF"/>
        </w:rPr>
        <w:t>17</w:t>
      </w:r>
      <w:r w:rsidRPr="0085201F">
        <w:rPr>
          <w:rFonts w:ascii="Arial" w:hAnsi="Arial" w:cs="Arial"/>
          <w:color w:val="222222"/>
          <w:shd w:val="clear" w:color="auto" w:fill="FFFFFF"/>
        </w:rPr>
        <w:t>(4), 24-33.</w:t>
      </w:r>
    </w:p>
    <w:p w14:paraId="30396604" w14:textId="77777777"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rPr>
        <w:t>Pachori</w:t>
      </w:r>
      <w:proofErr w:type="spellEnd"/>
      <w:r w:rsidRPr="0085201F">
        <w:rPr>
          <w:rFonts w:ascii="Arial" w:hAnsi="Arial" w:cs="Arial"/>
          <w:b/>
          <w:bCs/>
        </w:rPr>
        <w:t>, R.</w:t>
      </w:r>
      <w:r w:rsidRPr="0085201F">
        <w:rPr>
          <w:rFonts w:ascii="Arial" w:hAnsi="Arial" w:cs="Arial"/>
        </w:rPr>
        <w:t xml:space="preserve"> (2021, November 3). Promoting Quality Schooling. </w:t>
      </w:r>
      <w:r w:rsidRPr="0085201F">
        <w:rPr>
          <w:rFonts w:ascii="Arial" w:hAnsi="Arial" w:cs="Arial"/>
          <w:i/>
          <w:iCs/>
        </w:rPr>
        <w:t>Hindustan Times</w:t>
      </w:r>
      <w:r w:rsidRPr="0085201F">
        <w:rPr>
          <w:rFonts w:ascii="Arial" w:hAnsi="Arial" w:cs="Arial"/>
        </w:rPr>
        <w:t>, 18.</w:t>
      </w:r>
    </w:p>
    <w:p w14:paraId="250B7874" w14:textId="77777777"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rPr>
        <w:t>Pachori</w:t>
      </w:r>
      <w:proofErr w:type="spellEnd"/>
      <w:r w:rsidRPr="0085201F">
        <w:rPr>
          <w:rFonts w:ascii="Arial" w:hAnsi="Arial" w:cs="Arial"/>
          <w:b/>
          <w:bCs/>
        </w:rPr>
        <w:t>, R.,</w:t>
      </w:r>
      <w:r w:rsidRPr="0085201F">
        <w:rPr>
          <w:rFonts w:ascii="Arial" w:hAnsi="Arial" w:cs="Arial"/>
        </w:rPr>
        <w:t xml:space="preserve"> &amp; Kumar, R. (2023, January 30). Teachers and Technology. </w:t>
      </w:r>
      <w:r w:rsidRPr="0085201F">
        <w:rPr>
          <w:rFonts w:ascii="Arial" w:hAnsi="Arial" w:cs="Arial"/>
          <w:i/>
          <w:iCs/>
        </w:rPr>
        <w:t>Financial Express</w:t>
      </w:r>
      <w:r w:rsidRPr="0085201F">
        <w:rPr>
          <w:rFonts w:ascii="Arial" w:hAnsi="Arial" w:cs="Arial"/>
        </w:rPr>
        <w:t>, 8.</w:t>
      </w:r>
    </w:p>
    <w:p w14:paraId="4418BB2E" w14:textId="77777777"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rPr>
        <w:t>Pachori</w:t>
      </w:r>
      <w:proofErr w:type="spellEnd"/>
      <w:r w:rsidRPr="0085201F">
        <w:rPr>
          <w:rFonts w:ascii="Arial" w:hAnsi="Arial" w:cs="Arial"/>
          <w:b/>
          <w:bCs/>
        </w:rPr>
        <w:t>, R</w:t>
      </w:r>
      <w:r w:rsidRPr="0085201F">
        <w:rPr>
          <w:rFonts w:ascii="Arial" w:hAnsi="Arial" w:cs="Arial"/>
        </w:rPr>
        <w:t xml:space="preserve">., &amp; Sarangi, S. (2022, January 8). Artists of the Blackboard. </w:t>
      </w:r>
      <w:r w:rsidRPr="0085201F">
        <w:rPr>
          <w:rFonts w:ascii="Arial" w:hAnsi="Arial" w:cs="Arial"/>
          <w:i/>
          <w:iCs/>
        </w:rPr>
        <w:t>Daily Pioneer</w:t>
      </w:r>
      <w:r w:rsidRPr="0085201F">
        <w:rPr>
          <w:rFonts w:ascii="Arial" w:hAnsi="Arial" w:cs="Arial"/>
        </w:rPr>
        <w:t>, 7.</w:t>
      </w:r>
    </w:p>
    <w:p w14:paraId="03D1A0AB" w14:textId="77777777"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rPr>
        <w:t>Pachori</w:t>
      </w:r>
      <w:proofErr w:type="spellEnd"/>
      <w:r w:rsidRPr="0085201F">
        <w:rPr>
          <w:rFonts w:ascii="Arial" w:hAnsi="Arial" w:cs="Arial"/>
          <w:b/>
          <w:bCs/>
        </w:rPr>
        <w:t>, R</w:t>
      </w:r>
      <w:r w:rsidRPr="0085201F">
        <w:rPr>
          <w:rFonts w:ascii="Arial" w:hAnsi="Arial" w:cs="Arial"/>
        </w:rPr>
        <w:t xml:space="preserve">., &amp; Sarangi, S. (2022, March 30). Need to upgrade assessment methodologies. </w:t>
      </w:r>
      <w:r w:rsidRPr="0085201F">
        <w:rPr>
          <w:rFonts w:ascii="Arial" w:hAnsi="Arial" w:cs="Arial"/>
          <w:i/>
          <w:iCs/>
        </w:rPr>
        <w:t>Times of India</w:t>
      </w:r>
      <w:r w:rsidRPr="0085201F">
        <w:rPr>
          <w:rFonts w:ascii="Arial" w:hAnsi="Arial" w:cs="Arial"/>
        </w:rPr>
        <w:t xml:space="preserve">, 2. </w:t>
      </w:r>
    </w:p>
    <w:p w14:paraId="33ACAD49" w14:textId="019E0DA4" w:rsidR="0085201F" w:rsidRPr="0085201F" w:rsidRDefault="0085201F" w:rsidP="0085201F">
      <w:pPr>
        <w:pStyle w:val="ListParagraph"/>
        <w:numPr>
          <w:ilvl w:val="0"/>
          <w:numId w:val="1"/>
        </w:numPr>
        <w:spacing w:after="200" w:line="480" w:lineRule="auto"/>
        <w:jc w:val="both"/>
        <w:rPr>
          <w:rFonts w:ascii="Arial" w:hAnsi="Arial" w:cs="Arial"/>
        </w:rPr>
      </w:pPr>
      <w:proofErr w:type="spellStart"/>
      <w:r w:rsidRPr="0085201F">
        <w:rPr>
          <w:rFonts w:ascii="Arial" w:hAnsi="Arial" w:cs="Arial"/>
          <w:b/>
          <w:bCs/>
        </w:rPr>
        <w:t>Pachori</w:t>
      </w:r>
      <w:proofErr w:type="spellEnd"/>
      <w:r w:rsidRPr="0085201F">
        <w:rPr>
          <w:rFonts w:ascii="Arial" w:hAnsi="Arial" w:cs="Arial"/>
          <w:b/>
          <w:bCs/>
        </w:rPr>
        <w:t>, R</w:t>
      </w:r>
      <w:r w:rsidRPr="0085201F">
        <w:rPr>
          <w:rFonts w:ascii="Arial" w:hAnsi="Arial" w:cs="Arial"/>
        </w:rPr>
        <w:t xml:space="preserve">. (2021, September 11). From clips to clicks – The age of E-Governance [Times of India]. </w:t>
      </w:r>
      <w:r w:rsidRPr="0085201F">
        <w:rPr>
          <w:rFonts w:ascii="Arial" w:hAnsi="Arial" w:cs="Arial"/>
          <w:i/>
          <w:iCs/>
        </w:rPr>
        <w:t>From Clips to Clicks – The Age of E-Governance</w:t>
      </w:r>
      <w:r w:rsidRPr="0085201F">
        <w:rPr>
          <w:rFonts w:ascii="Arial" w:hAnsi="Arial" w:cs="Arial"/>
        </w:rPr>
        <w:t xml:space="preserve">. </w:t>
      </w:r>
      <w:hyperlink r:id="rId5" w:history="1">
        <w:r w:rsidRPr="0085201F">
          <w:rPr>
            <w:rStyle w:val="Hyperlink"/>
            <w:rFonts w:ascii="Arial" w:hAnsi="Arial" w:cs="Arial"/>
          </w:rPr>
          <w:t>https://timesofindia.indiatimes.com/blogs/in-my-humble-opinion/from-clips-to-clicks-the-age-of-e-governance/</w:t>
        </w:r>
      </w:hyperlink>
    </w:p>
    <w:p w14:paraId="29CEAF23"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0B24A16F"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37E8D876"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6F61C7EF"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57B987B4"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7454EDAE" w14:textId="7777777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p>
    <w:p w14:paraId="734D07C7" w14:textId="5CBBC057" w:rsidR="0085201F" w:rsidRPr="0085201F" w:rsidRDefault="0085201F" w:rsidP="0085201F">
      <w:pPr>
        <w:shd w:val="clear" w:color="auto" w:fill="FFFFFF"/>
        <w:rPr>
          <w:rFonts w:ascii="Arial" w:eastAsia="Times New Roman" w:hAnsi="Arial" w:cs="Arial"/>
          <w:color w:val="000000"/>
          <w:kern w:val="0"/>
          <w:lang w:eastAsia="en-GB" w:bidi="hi-IN"/>
          <w14:ligatures w14:val="none"/>
        </w:rPr>
      </w:pPr>
      <w:r w:rsidRPr="0085201F">
        <w:rPr>
          <w:rFonts w:ascii="Arial" w:eastAsia="Times New Roman" w:hAnsi="Arial" w:cs="Arial"/>
          <w:color w:val="000000"/>
          <w:kern w:val="0"/>
          <w:lang w:eastAsia="en-GB" w:bidi="hi-IN"/>
          <w14:ligatures w14:val="none"/>
        </w:rPr>
        <w:t>Achievements</w:t>
      </w:r>
    </w:p>
    <w:p w14:paraId="5569D343" w14:textId="77777777" w:rsidR="00F90861" w:rsidRPr="0085201F" w:rsidRDefault="00F90861">
      <w:pPr>
        <w:rPr>
          <w:rFonts w:ascii="Arial" w:hAnsi="Arial" w:cs="Arial"/>
        </w:rPr>
      </w:pP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110"/>
        <w:gridCol w:w="2111"/>
      </w:tblGrid>
      <w:tr w:rsidR="0085201F" w:rsidRPr="0085201F" w14:paraId="2C743C59" w14:textId="77777777" w:rsidTr="0085201F">
        <w:tc>
          <w:tcPr>
            <w:tcW w:w="918" w:type="dxa"/>
          </w:tcPr>
          <w:p w14:paraId="29DCDDB9"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Sr No</w:t>
            </w:r>
          </w:p>
        </w:tc>
        <w:tc>
          <w:tcPr>
            <w:tcW w:w="7110" w:type="dxa"/>
          </w:tcPr>
          <w:p w14:paraId="1932C1F9"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Details of Award / Innovation</w:t>
            </w:r>
          </w:p>
        </w:tc>
        <w:tc>
          <w:tcPr>
            <w:tcW w:w="2111" w:type="dxa"/>
          </w:tcPr>
          <w:p w14:paraId="4B483709"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Year</w:t>
            </w:r>
          </w:p>
        </w:tc>
      </w:tr>
      <w:tr w:rsidR="0085201F" w:rsidRPr="0085201F" w14:paraId="069B26AC" w14:textId="77777777" w:rsidTr="0085201F">
        <w:trPr>
          <w:trHeight w:val="1052"/>
        </w:trPr>
        <w:tc>
          <w:tcPr>
            <w:tcW w:w="918" w:type="dxa"/>
          </w:tcPr>
          <w:p w14:paraId="023BE147"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1.</w:t>
            </w:r>
          </w:p>
        </w:tc>
        <w:tc>
          <w:tcPr>
            <w:tcW w:w="7110" w:type="dxa"/>
          </w:tcPr>
          <w:p w14:paraId="4E3E0415" w14:textId="77777777" w:rsidR="0085201F" w:rsidRPr="0085201F" w:rsidRDefault="0085201F" w:rsidP="00611D2A">
            <w:pPr>
              <w:pBdr>
                <w:top w:val="nil"/>
                <w:left w:val="nil"/>
                <w:bottom w:val="nil"/>
                <w:right w:val="nil"/>
                <w:between w:val="nil"/>
              </w:pBdr>
              <w:tabs>
                <w:tab w:val="left" w:pos="284"/>
              </w:tabs>
              <w:spacing w:after="200" w:line="360" w:lineRule="auto"/>
              <w:jc w:val="both"/>
              <w:rPr>
                <w:rFonts w:ascii="Arial" w:eastAsia="Arial" w:hAnsi="Arial" w:cs="Arial"/>
                <w:color w:val="000000"/>
              </w:rPr>
            </w:pPr>
            <w:r w:rsidRPr="0085201F">
              <w:rPr>
                <w:rFonts w:ascii="Arial" w:eastAsia="Arial" w:hAnsi="Arial" w:cs="Arial"/>
                <w:color w:val="000000"/>
              </w:rPr>
              <w:t xml:space="preserve">Received </w:t>
            </w:r>
            <w:r w:rsidRPr="0085201F">
              <w:rPr>
                <w:rFonts w:ascii="Arial" w:eastAsia="Arial" w:hAnsi="Arial" w:cs="Arial"/>
                <w:color w:val="000000"/>
                <w:u w:val="single"/>
              </w:rPr>
              <w:t>Minister of Railway’s Award (National Award)</w:t>
            </w:r>
            <w:r w:rsidRPr="0085201F">
              <w:rPr>
                <w:rFonts w:ascii="Arial" w:eastAsia="Arial" w:hAnsi="Arial" w:cs="Arial"/>
                <w:color w:val="000000"/>
              </w:rPr>
              <w:t xml:space="preserve"> for outstanding achievement for commissioning 80 locomotives without increase in manpower.</w:t>
            </w:r>
          </w:p>
        </w:tc>
        <w:tc>
          <w:tcPr>
            <w:tcW w:w="2111" w:type="dxa"/>
          </w:tcPr>
          <w:p w14:paraId="3C2F88AD" w14:textId="77777777" w:rsidR="0085201F" w:rsidRPr="0085201F" w:rsidRDefault="0085201F" w:rsidP="00611D2A">
            <w:pPr>
              <w:pBdr>
                <w:top w:val="nil"/>
                <w:left w:val="nil"/>
                <w:bottom w:val="nil"/>
                <w:right w:val="nil"/>
                <w:between w:val="nil"/>
              </w:pBdr>
              <w:tabs>
                <w:tab w:val="left" w:pos="284"/>
              </w:tabs>
              <w:spacing w:after="200" w:line="360" w:lineRule="auto"/>
              <w:jc w:val="center"/>
              <w:rPr>
                <w:rFonts w:ascii="Arial" w:eastAsia="Arial" w:hAnsi="Arial" w:cs="Arial"/>
                <w:color w:val="000000"/>
              </w:rPr>
            </w:pPr>
            <w:r w:rsidRPr="0085201F">
              <w:rPr>
                <w:rFonts w:ascii="Arial" w:eastAsia="Arial" w:hAnsi="Arial" w:cs="Arial"/>
                <w:color w:val="000000"/>
              </w:rPr>
              <w:t>2016</w:t>
            </w:r>
          </w:p>
        </w:tc>
      </w:tr>
      <w:tr w:rsidR="0085201F" w:rsidRPr="0085201F" w14:paraId="5D9437E7" w14:textId="77777777" w:rsidTr="0085201F">
        <w:trPr>
          <w:trHeight w:val="1160"/>
        </w:trPr>
        <w:tc>
          <w:tcPr>
            <w:tcW w:w="918" w:type="dxa"/>
          </w:tcPr>
          <w:p w14:paraId="09275573"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2.</w:t>
            </w:r>
          </w:p>
        </w:tc>
        <w:tc>
          <w:tcPr>
            <w:tcW w:w="7110" w:type="dxa"/>
          </w:tcPr>
          <w:p w14:paraId="4505E2C3" w14:textId="77777777" w:rsidR="0085201F" w:rsidRPr="0085201F" w:rsidRDefault="0085201F" w:rsidP="00611D2A">
            <w:pPr>
              <w:pBdr>
                <w:top w:val="nil"/>
                <w:left w:val="nil"/>
                <w:bottom w:val="nil"/>
                <w:right w:val="nil"/>
                <w:between w:val="nil"/>
              </w:pBdr>
              <w:tabs>
                <w:tab w:val="left" w:pos="284"/>
                <w:tab w:val="left" w:pos="709"/>
              </w:tabs>
              <w:spacing w:after="200" w:line="360" w:lineRule="auto"/>
              <w:jc w:val="both"/>
              <w:rPr>
                <w:rFonts w:ascii="Arial" w:eastAsia="Arial" w:hAnsi="Arial" w:cs="Arial"/>
                <w:color w:val="000000"/>
              </w:rPr>
            </w:pPr>
            <w:r w:rsidRPr="0085201F">
              <w:rPr>
                <w:rFonts w:ascii="Arial" w:eastAsia="Arial" w:hAnsi="Arial" w:cs="Arial"/>
                <w:color w:val="000000"/>
              </w:rPr>
              <w:t xml:space="preserve">Received </w:t>
            </w:r>
            <w:r w:rsidRPr="0085201F">
              <w:rPr>
                <w:rFonts w:ascii="Arial" w:eastAsia="Arial" w:hAnsi="Arial" w:cs="Arial"/>
                <w:color w:val="000000"/>
                <w:u w:val="single"/>
              </w:rPr>
              <w:t>2</w:t>
            </w:r>
            <w:r w:rsidRPr="0085201F">
              <w:rPr>
                <w:rFonts w:ascii="Arial" w:eastAsia="Arial" w:hAnsi="Arial" w:cs="Arial"/>
                <w:color w:val="000000"/>
                <w:u w:val="single"/>
                <w:vertAlign w:val="superscript"/>
              </w:rPr>
              <w:t>nd</w:t>
            </w:r>
            <w:r w:rsidRPr="0085201F">
              <w:rPr>
                <w:rFonts w:ascii="Arial" w:eastAsia="Arial" w:hAnsi="Arial" w:cs="Arial"/>
                <w:color w:val="000000"/>
                <w:u w:val="single"/>
              </w:rPr>
              <w:t xml:space="preserve"> Prize in Best Suggestion Scheme 2019</w:t>
            </w:r>
            <w:r w:rsidRPr="0085201F">
              <w:rPr>
                <w:rFonts w:ascii="Arial" w:eastAsia="Arial" w:hAnsi="Arial" w:cs="Arial"/>
                <w:color w:val="000000"/>
              </w:rPr>
              <w:t xml:space="preserve"> along with Certificate of Excellence from </w:t>
            </w:r>
            <w:r w:rsidRPr="0085201F">
              <w:rPr>
                <w:rFonts w:ascii="Arial" w:eastAsia="Arial" w:hAnsi="Arial" w:cs="Arial"/>
                <w:color w:val="000000"/>
                <w:u w:val="single"/>
              </w:rPr>
              <w:t xml:space="preserve">Chairman Railway Board </w:t>
            </w:r>
            <w:r w:rsidRPr="0085201F">
              <w:rPr>
                <w:rFonts w:ascii="Arial" w:eastAsia="Arial" w:hAnsi="Arial" w:cs="Arial"/>
                <w:color w:val="000000"/>
              </w:rPr>
              <w:t>for converting a scrapped electric locomotive into a battery cum AC electric operated shunting locomotive.</w:t>
            </w:r>
          </w:p>
        </w:tc>
        <w:tc>
          <w:tcPr>
            <w:tcW w:w="2111" w:type="dxa"/>
          </w:tcPr>
          <w:p w14:paraId="0DD91F58" w14:textId="77777777" w:rsidR="0085201F" w:rsidRPr="0085201F" w:rsidRDefault="0085201F" w:rsidP="00611D2A">
            <w:pPr>
              <w:pBdr>
                <w:top w:val="nil"/>
                <w:left w:val="nil"/>
                <w:bottom w:val="nil"/>
                <w:right w:val="nil"/>
                <w:between w:val="nil"/>
              </w:pBdr>
              <w:tabs>
                <w:tab w:val="left" w:pos="284"/>
              </w:tabs>
              <w:spacing w:after="200" w:line="360" w:lineRule="auto"/>
              <w:jc w:val="center"/>
              <w:rPr>
                <w:rFonts w:ascii="Arial" w:eastAsia="Arial" w:hAnsi="Arial" w:cs="Arial"/>
                <w:color w:val="000000"/>
              </w:rPr>
            </w:pPr>
            <w:r w:rsidRPr="0085201F">
              <w:rPr>
                <w:rFonts w:ascii="Arial" w:eastAsia="Arial" w:hAnsi="Arial" w:cs="Arial"/>
                <w:color w:val="000000"/>
              </w:rPr>
              <w:t>2019</w:t>
            </w:r>
          </w:p>
        </w:tc>
      </w:tr>
      <w:tr w:rsidR="0085201F" w:rsidRPr="0085201F" w14:paraId="616394D1" w14:textId="77777777" w:rsidTr="0085201F">
        <w:trPr>
          <w:trHeight w:val="1061"/>
        </w:trPr>
        <w:tc>
          <w:tcPr>
            <w:tcW w:w="918" w:type="dxa"/>
          </w:tcPr>
          <w:p w14:paraId="1A3176F5" w14:textId="77777777" w:rsidR="0085201F" w:rsidRPr="0085201F" w:rsidRDefault="0085201F" w:rsidP="00611D2A">
            <w:pPr>
              <w:pBdr>
                <w:top w:val="nil"/>
                <w:left w:val="nil"/>
                <w:bottom w:val="nil"/>
                <w:right w:val="nil"/>
                <w:between w:val="nil"/>
              </w:pBdr>
              <w:tabs>
                <w:tab w:val="left" w:pos="284"/>
              </w:tabs>
              <w:spacing w:after="200" w:line="276" w:lineRule="auto"/>
              <w:jc w:val="center"/>
              <w:rPr>
                <w:rFonts w:ascii="Arial" w:eastAsia="Arial" w:hAnsi="Arial" w:cs="Arial"/>
                <w:color w:val="000000"/>
              </w:rPr>
            </w:pPr>
            <w:r w:rsidRPr="0085201F">
              <w:rPr>
                <w:rFonts w:ascii="Arial" w:eastAsia="Arial" w:hAnsi="Arial" w:cs="Arial"/>
                <w:color w:val="000000"/>
              </w:rPr>
              <w:t>3.</w:t>
            </w:r>
          </w:p>
        </w:tc>
        <w:tc>
          <w:tcPr>
            <w:tcW w:w="7110" w:type="dxa"/>
          </w:tcPr>
          <w:p w14:paraId="76AD46E7" w14:textId="77777777" w:rsidR="0085201F" w:rsidRPr="0085201F" w:rsidRDefault="0085201F" w:rsidP="00611D2A">
            <w:pPr>
              <w:pBdr>
                <w:top w:val="nil"/>
                <w:left w:val="nil"/>
                <w:bottom w:val="nil"/>
                <w:right w:val="nil"/>
                <w:between w:val="nil"/>
              </w:pBdr>
              <w:tabs>
                <w:tab w:val="left" w:pos="284"/>
              </w:tabs>
              <w:spacing w:after="200" w:line="360" w:lineRule="auto"/>
              <w:jc w:val="both"/>
              <w:rPr>
                <w:rFonts w:ascii="Arial" w:eastAsia="Arial" w:hAnsi="Arial" w:cs="Arial"/>
                <w:color w:val="000000"/>
              </w:rPr>
            </w:pPr>
            <w:r w:rsidRPr="0085201F">
              <w:rPr>
                <w:rFonts w:ascii="Arial" w:eastAsia="Arial" w:hAnsi="Arial" w:cs="Arial"/>
                <w:color w:val="000000"/>
              </w:rPr>
              <w:t xml:space="preserve">Received Award for </w:t>
            </w:r>
            <w:r w:rsidRPr="0085201F">
              <w:rPr>
                <w:rFonts w:ascii="Arial" w:eastAsia="Arial" w:hAnsi="Arial" w:cs="Arial"/>
                <w:color w:val="000000"/>
                <w:u w:val="single"/>
              </w:rPr>
              <w:t xml:space="preserve">Outstanding Work in </w:t>
            </w:r>
            <w:proofErr w:type="spellStart"/>
            <w:r w:rsidRPr="0085201F">
              <w:rPr>
                <w:rFonts w:ascii="Arial" w:eastAsia="Arial" w:hAnsi="Arial" w:cs="Arial"/>
                <w:color w:val="000000"/>
                <w:u w:val="single"/>
              </w:rPr>
              <w:t>Rajbhasha</w:t>
            </w:r>
            <w:proofErr w:type="spellEnd"/>
            <w:r w:rsidRPr="0085201F">
              <w:rPr>
                <w:rFonts w:ascii="Arial" w:eastAsia="Arial" w:hAnsi="Arial" w:cs="Arial"/>
                <w:color w:val="000000"/>
              </w:rPr>
              <w:t xml:space="preserve"> from </w:t>
            </w:r>
            <w:r w:rsidRPr="0085201F">
              <w:rPr>
                <w:rFonts w:ascii="Arial" w:eastAsia="Arial" w:hAnsi="Arial" w:cs="Arial"/>
                <w:color w:val="000000"/>
                <w:u w:val="single"/>
              </w:rPr>
              <w:t>General Manager West Central Railway.</w:t>
            </w:r>
          </w:p>
        </w:tc>
        <w:tc>
          <w:tcPr>
            <w:tcW w:w="2111" w:type="dxa"/>
          </w:tcPr>
          <w:p w14:paraId="70860B12" w14:textId="77777777" w:rsidR="0085201F" w:rsidRPr="0085201F" w:rsidRDefault="0085201F" w:rsidP="00611D2A">
            <w:pPr>
              <w:pBdr>
                <w:top w:val="nil"/>
                <w:left w:val="nil"/>
                <w:bottom w:val="nil"/>
                <w:right w:val="nil"/>
                <w:between w:val="nil"/>
              </w:pBdr>
              <w:tabs>
                <w:tab w:val="left" w:pos="284"/>
              </w:tabs>
              <w:spacing w:after="200" w:line="360" w:lineRule="auto"/>
              <w:jc w:val="center"/>
              <w:rPr>
                <w:rFonts w:ascii="Arial" w:eastAsia="Arial" w:hAnsi="Arial" w:cs="Arial"/>
                <w:color w:val="000000"/>
              </w:rPr>
            </w:pPr>
            <w:r w:rsidRPr="0085201F">
              <w:rPr>
                <w:rFonts w:ascii="Arial" w:eastAsia="Arial" w:hAnsi="Arial" w:cs="Arial"/>
                <w:color w:val="000000"/>
              </w:rPr>
              <w:t>2018</w:t>
            </w:r>
          </w:p>
        </w:tc>
      </w:tr>
    </w:tbl>
    <w:p w14:paraId="1BE7E22F" w14:textId="77777777" w:rsidR="0085201F" w:rsidRPr="0085201F" w:rsidRDefault="0085201F">
      <w:pPr>
        <w:rPr>
          <w:rFonts w:ascii="Arial" w:hAnsi="Arial" w:cs="Arial"/>
        </w:rPr>
      </w:pPr>
    </w:p>
    <w:sectPr w:rsidR="0085201F" w:rsidRPr="00852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E1CB1"/>
    <w:multiLevelType w:val="hybridMultilevel"/>
    <w:tmpl w:val="B3BEF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10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1F"/>
    <w:rsid w:val="00291141"/>
    <w:rsid w:val="006F0CB5"/>
    <w:rsid w:val="007A4DDB"/>
    <w:rsid w:val="0085201F"/>
    <w:rsid w:val="00DB2C7B"/>
    <w:rsid w:val="00F908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CC990E5"/>
  <w15:chartTrackingRefBased/>
  <w15:docId w15:val="{3972B7B0-B08A-B64C-BE45-B64C6EA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0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0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0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0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01F"/>
    <w:rPr>
      <w:rFonts w:eastAsiaTheme="majorEastAsia" w:cstheme="majorBidi"/>
      <w:color w:val="272727" w:themeColor="text1" w:themeTint="D8"/>
    </w:rPr>
  </w:style>
  <w:style w:type="paragraph" w:styleId="Title">
    <w:name w:val="Title"/>
    <w:basedOn w:val="Normal"/>
    <w:next w:val="Normal"/>
    <w:link w:val="TitleChar"/>
    <w:uiPriority w:val="10"/>
    <w:qFormat/>
    <w:rsid w:val="008520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0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0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01F"/>
    <w:rPr>
      <w:i/>
      <w:iCs/>
      <w:color w:val="404040" w:themeColor="text1" w:themeTint="BF"/>
    </w:rPr>
  </w:style>
  <w:style w:type="paragraph" w:styleId="ListParagraph">
    <w:name w:val="List Paragraph"/>
    <w:basedOn w:val="Normal"/>
    <w:uiPriority w:val="34"/>
    <w:qFormat/>
    <w:rsid w:val="0085201F"/>
    <w:pPr>
      <w:ind w:left="720"/>
      <w:contextualSpacing/>
    </w:pPr>
  </w:style>
  <w:style w:type="character" w:styleId="IntenseEmphasis">
    <w:name w:val="Intense Emphasis"/>
    <w:basedOn w:val="DefaultParagraphFont"/>
    <w:uiPriority w:val="21"/>
    <w:qFormat/>
    <w:rsid w:val="0085201F"/>
    <w:rPr>
      <w:i/>
      <w:iCs/>
      <w:color w:val="0F4761" w:themeColor="accent1" w:themeShade="BF"/>
    </w:rPr>
  </w:style>
  <w:style w:type="paragraph" w:styleId="IntenseQuote">
    <w:name w:val="Intense Quote"/>
    <w:basedOn w:val="Normal"/>
    <w:next w:val="Normal"/>
    <w:link w:val="IntenseQuoteChar"/>
    <w:uiPriority w:val="30"/>
    <w:qFormat/>
    <w:rsid w:val="0085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01F"/>
    <w:rPr>
      <w:i/>
      <w:iCs/>
      <w:color w:val="0F4761" w:themeColor="accent1" w:themeShade="BF"/>
    </w:rPr>
  </w:style>
  <w:style w:type="character" w:styleId="IntenseReference">
    <w:name w:val="Intense Reference"/>
    <w:basedOn w:val="DefaultParagraphFont"/>
    <w:uiPriority w:val="32"/>
    <w:qFormat/>
    <w:rsid w:val="0085201F"/>
    <w:rPr>
      <w:b/>
      <w:bCs/>
      <w:smallCaps/>
      <w:color w:val="0F4761" w:themeColor="accent1" w:themeShade="BF"/>
      <w:spacing w:val="5"/>
    </w:rPr>
  </w:style>
  <w:style w:type="character" w:styleId="Hyperlink">
    <w:name w:val="Hyperlink"/>
    <w:basedOn w:val="DefaultParagraphFont"/>
    <w:uiPriority w:val="99"/>
    <w:unhideWhenUsed/>
    <w:rsid w:val="0085201F"/>
    <w:rPr>
      <w:color w:val="467886" w:themeColor="hyperlink"/>
      <w:u w:val="single"/>
    </w:rPr>
  </w:style>
  <w:style w:type="paragraph" w:styleId="NormalWeb">
    <w:name w:val="Normal (Web)"/>
    <w:basedOn w:val="Normal"/>
    <w:uiPriority w:val="99"/>
    <w:unhideWhenUsed/>
    <w:rsid w:val="007A4DDB"/>
    <w:pPr>
      <w:spacing w:before="100" w:beforeAutospacing="1" w:after="100" w:afterAutospacing="1"/>
    </w:pPr>
    <w:rPr>
      <w:rFonts w:ascii="Times New Roman" w:eastAsia="Times New Roman" w:hAnsi="Times New Roman" w:cs="Times New Roman"/>
      <w:kern w:val="0"/>
      <w:lang w:eastAsia="en-GB" w:bidi="hi-IN"/>
      <w14:ligatures w14:val="none"/>
    </w:rPr>
  </w:style>
  <w:style w:type="character" w:customStyle="1" w:styleId="url">
    <w:name w:val="url"/>
    <w:basedOn w:val="DefaultParagraphFont"/>
    <w:rsid w:val="007A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04396">
      <w:bodyDiv w:val="1"/>
      <w:marLeft w:val="0"/>
      <w:marRight w:val="0"/>
      <w:marTop w:val="0"/>
      <w:marBottom w:val="0"/>
      <w:divBdr>
        <w:top w:val="none" w:sz="0" w:space="0" w:color="auto"/>
        <w:left w:val="none" w:sz="0" w:space="0" w:color="auto"/>
        <w:bottom w:val="none" w:sz="0" w:space="0" w:color="auto"/>
        <w:right w:val="none" w:sz="0" w:space="0" w:color="auto"/>
      </w:divBdr>
      <w:divsChild>
        <w:div w:id="1720787257">
          <w:marLeft w:val="-720"/>
          <w:marRight w:val="0"/>
          <w:marTop w:val="0"/>
          <w:marBottom w:val="0"/>
          <w:divBdr>
            <w:top w:val="none" w:sz="0" w:space="0" w:color="auto"/>
            <w:left w:val="none" w:sz="0" w:space="0" w:color="auto"/>
            <w:bottom w:val="none" w:sz="0" w:space="0" w:color="auto"/>
            <w:right w:val="none" w:sz="0" w:space="0" w:color="auto"/>
          </w:divBdr>
        </w:div>
      </w:divsChild>
    </w:div>
    <w:div w:id="1193422007">
      <w:bodyDiv w:val="1"/>
      <w:marLeft w:val="0"/>
      <w:marRight w:val="0"/>
      <w:marTop w:val="0"/>
      <w:marBottom w:val="0"/>
      <w:divBdr>
        <w:top w:val="none" w:sz="0" w:space="0" w:color="auto"/>
        <w:left w:val="none" w:sz="0" w:space="0" w:color="auto"/>
        <w:bottom w:val="none" w:sz="0" w:space="0" w:color="auto"/>
        <w:right w:val="none" w:sz="0" w:space="0" w:color="auto"/>
      </w:divBdr>
      <w:divsChild>
        <w:div w:id="1754006550">
          <w:marLeft w:val="0"/>
          <w:marRight w:val="0"/>
          <w:marTop w:val="0"/>
          <w:marBottom w:val="0"/>
          <w:divBdr>
            <w:top w:val="none" w:sz="0" w:space="0" w:color="auto"/>
            <w:left w:val="none" w:sz="0" w:space="0" w:color="auto"/>
            <w:bottom w:val="none" w:sz="0" w:space="0" w:color="auto"/>
            <w:right w:val="none" w:sz="0" w:space="0" w:color="auto"/>
          </w:divBdr>
        </w:div>
        <w:div w:id="1300300689">
          <w:marLeft w:val="0"/>
          <w:marRight w:val="0"/>
          <w:marTop w:val="0"/>
          <w:marBottom w:val="0"/>
          <w:divBdr>
            <w:top w:val="none" w:sz="0" w:space="0" w:color="auto"/>
            <w:left w:val="none" w:sz="0" w:space="0" w:color="auto"/>
            <w:bottom w:val="none" w:sz="0" w:space="0" w:color="auto"/>
            <w:right w:val="none" w:sz="0" w:space="0" w:color="auto"/>
          </w:divBdr>
        </w:div>
        <w:div w:id="1478841863">
          <w:marLeft w:val="0"/>
          <w:marRight w:val="0"/>
          <w:marTop w:val="0"/>
          <w:marBottom w:val="0"/>
          <w:divBdr>
            <w:top w:val="none" w:sz="0" w:space="0" w:color="auto"/>
            <w:left w:val="none" w:sz="0" w:space="0" w:color="auto"/>
            <w:bottom w:val="none" w:sz="0" w:space="0" w:color="auto"/>
            <w:right w:val="none" w:sz="0" w:space="0" w:color="auto"/>
          </w:divBdr>
        </w:div>
        <w:div w:id="1629510608">
          <w:marLeft w:val="0"/>
          <w:marRight w:val="0"/>
          <w:marTop w:val="0"/>
          <w:marBottom w:val="0"/>
          <w:divBdr>
            <w:top w:val="none" w:sz="0" w:space="0" w:color="auto"/>
            <w:left w:val="none" w:sz="0" w:space="0" w:color="auto"/>
            <w:bottom w:val="none" w:sz="0" w:space="0" w:color="auto"/>
            <w:right w:val="none" w:sz="0" w:space="0" w:color="auto"/>
          </w:divBdr>
        </w:div>
        <w:div w:id="1356424829">
          <w:marLeft w:val="0"/>
          <w:marRight w:val="0"/>
          <w:marTop w:val="0"/>
          <w:marBottom w:val="0"/>
          <w:divBdr>
            <w:top w:val="none" w:sz="0" w:space="0" w:color="auto"/>
            <w:left w:val="none" w:sz="0" w:space="0" w:color="auto"/>
            <w:bottom w:val="none" w:sz="0" w:space="0" w:color="auto"/>
            <w:right w:val="none" w:sz="0" w:space="0" w:color="auto"/>
          </w:divBdr>
        </w:div>
        <w:div w:id="1602058013">
          <w:marLeft w:val="0"/>
          <w:marRight w:val="0"/>
          <w:marTop w:val="0"/>
          <w:marBottom w:val="0"/>
          <w:divBdr>
            <w:top w:val="none" w:sz="0" w:space="0" w:color="auto"/>
            <w:left w:val="none" w:sz="0" w:space="0" w:color="auto"/>
            <w:bottom w:val="none" w:sz="0" w:space="0" w:color="auto"/>
            <w:right w:val="none" w:sz="0" w:space="0" w:color="auto"/>
          </w:divBdr>
        </w:div>
        <w:div w:id="923682111">
          <w:marLeft w:val="0"/>
          <w:marRight w:val="0"/>
          <w:marTop w:val="0"/>
          <w:marBottom w:val="0"/>
          <w:divBdr>
            <w:top w:val="none" w:sz="0" w:space="0" w:color="auto"/>
            <w:left w:val="none" w:sz="0" w:space="0" w:color="auto"/>
            <w:bottom w:val="none" w:sz="0" w:space="0" w:color="auto"/>
            <w:right w:val="none" w:sz="0" w:space="0" w:color="auto"/>
          </w:divBdr>
        </w:div>
        <w:div w:id="588781796">
          <w:marLeft w:val="0"/>
          <w:marRight w:val="0"/>
          <w:marTop w:val="0"/>
          <w:marBottom w:val="0"/>
          <w:divBdr>
            <w:top w:val="none" w:sz="0" w:space="0" w:color="auto"/>
            <w:left w:val="none" w:sz="0" w:space="0" w:color="auto"/>
            <w:bottom w:val="none" w:sz="0" w:space="0" w:color="auto"/>
            <w:right w:val="none" w:sz="0" w:space="0" w:color="auto"/>
          </w:divBdr>
        </w:div>
        <w:div w:id="2108114440">
          <w:marLeft w:val="0"/>
          <w:marRight w:val="0"/>
          <w:marTop w:val="0"/>
          <w:marBottom w:val="0"/>
          <w:divBdr>
            <w:top w:val="none" w:sz="0" w:space="0" w:color="auto"/>
            <w:left w:val="none" w:sz="0" w:space="0" w:color="auto"/>
            <w:bottom w:val="none" w:sz="0" w:space="0" w:color="auto"/>
            <w:right w:val="none" w:sz="0" w:space="0" w:color="auto"/>
          </w:divBdr>
        </w:div>
        <w:div w:id="128071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mesofindia.indiatimes.com/blogs/in-my-humble-opinion/from-clips-to-clicks-the-age-of-e-gover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Pachori</dc:creator>
  <cp:keywords/>
  <dc:description/>
  <cp:lastModifiedBy>Rahul Pachori</cp:lastModifiedBy>
  <cp:revision>1</cp:revision>
  <dcterms:created xsi:type="dcterms:W3CDTF">2024-08-10T18:27:00Z</dcterms:created>
  <dcterms:modified xsi:type="dcterms:W3CDTF">2024-08-10T18:40:00Z</dcterms:modified>
</cp:coreProperties>
</file>